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828" w:rsidRDefault="00AE0828" w:rsidP="002D4117">
      <w:pPr>
        <w:pStyle w:val="Default"/>
        <w:spacing w:line="360" w:lineRule="auto"/>
        <w:jc w:val="center"/>
        <w:rPr>
          <w:rFonts w:ascii="Times New Roman" w:hAnsi="Times New Roman" w:cs="Times New Roman"/>
          <w:b/>
          <w:sz w:val="28"/>
          <w:szCs w:val="28"/>
        </w:rPr>
      </w:pPr>
      <w:r>
        <w:rPr>
          <w:rFonts w:ascii="Times New Roman" w:hAnsi="Times New Roman" w:cs="Times New Roman" w:hint="eastAsia"/>
          <w:b/>
          <w:sz w:val="28"/>
          <w:szCs w:val="28"/>
        </w:rPr>
        <w:t>文藻外語大學研究所優秀僑生獎學金審查作業須知</w:t>
      </w:r>
    </w:p>
    <w:p w:rsidR="00AE0828" w:rsidRDefault="00AE0828" w:rsidP="00AE0828">
      <w:pPr>
        <w:jc w:val="right"/>
        <w:rPr>
          <w:rFonts w:ascii="Times New Roman" w:eastAsia="標楷體" w:hAnsi="Times New Roman" w:cs="Times New Roman"/>
          <w:sz w:val="20"/>
          <w:szCs w:val="22"/>
        </w:rPr>
      </w:pPr>
      <w:r>
        <w:rPr>
          <w:rFonts w:ascii="Times New Roman" w:eastAsia="標楷體" w:hAnsi="Times New Roman" w:hint="eastAsia"/>
          <w:sz w:val="20"/>
        </w:rPr>
        <w:t>民國</w:t>
      </w:r>
      <w:r>
        <w:rPr>
          <w:rFonts w:ascii="Times New Roman" w:eastAsia="標楷體" w:hAnsi="Times New Roman"/>
          <w:sz w:val="20"/>
        </w:rPr>
        <w:t>110</w:t>
      </w:r>
      <w:r>
        <w:rPr>
          <w:rFonts w:ascii="Times New Roman" w:eastAsia="標楷體" w:hAnsi="Times New Roman" w:hint="eastAsia"/>
          <w:sz w:val="20"/>
        </w:rPr>
        <w:t>年</w:t>
      </w:r>
      <w:r>
        <w:rPr>
          <w:rFonts w:ascii="Times New Roman" w:eastAsia="標楷體" w:hAnsi="Times New Roman"/>
          <w:sz w:val="20"/>
        </w:rPr>
        <w:t>11</w:t>
      </w:r>
      <w:r>
        <w:rPr>
          <w:rFonts w:ascii="Times New Roman" w:eastAsia="標楷體" w:hAnsi="Times New Roman" w:hint="eastAsia"/>
          <w:sz w:val="20"/>
        </w:rPr>
        <w:t>月</w:t>
      </w:r>
      <w:r>
        <w:rPr>
          <w:rFonts w:ascii="Times New Roman" w:eastAsia="標楷體" w:hAnsi="Times New Roman"/>
          <w:sz w:val="20"/>
        </w:rPr>
        <w:t>29</w:t>
      </w:r>
      <w:r>
        <w:rPr>
          <w:rFonts w:ascii="Times New Roman" w:eastAsia="標楷體" w:hAnsi="Times New Roman" w:hint="eastAsia"/>
          <w:sz w:val="20"/>
        </w:rPr>
        <w:t>日國際暨兩岸合作發展委員會會議通過</w:t>
      </w:r>
    </w:p>
    <w:p w:rsidR="00AE0828" w:rsidRDefault="00AE0828" w:rsidP="00AE0828">
      <w:pPr>
        <w:jc w:val="right"/>
        <w:rPr>
          <w:rFonts w:ascii="Times New Roman" w:eastAsia="標楷體" w:hAnsi="Times New Roman"/>
          <w:sz w:val="20"/>
        </w:rPr>
      </w:pPr>
      <w:r>
        <w:rPr>
          <w:rFonts w:ascii="Times New Roman" w:eastAsia="標楷體" w:hAnsi="Times New Roman" w:hint="eastAsia"/>
          <w:sz w:val="20"/>
        </w:rPr>
        <w:t>民國</w:t>
      </w:r>
      <w:r>
        <w:rPr>
          <w:rFonts w:ascii="Times New Roman" w:eastAsia="標楷體" w:hAnsi="Times New Roman"/>
          <w:sz w:val="20"/>
        </w:rPr>
        <w:t>110</w:t>
      </w:r>
      <w:r>
        <w:rPr>
          <w:rFonts w:ascii="Times New Roman" w:eastAsia="標楷體" w:hAnsi="Times New Roman" w:hint="eastAsia"/>
          <w:sz w:val="20"/>
        </w:rPr>
        <w:t>年</w:t>
      </w:r>
      <w:r>
        <w:rPr>
          <w:rFonts w:ascii="Times New Roman" w:eastAsia="標楷體" w:hAnsi="Times New Roman"/>
          <w:sz w:val="20"/>
        </w:rPr>
        <w:t>11</w:t>
      </w:r>
      <w:r>
        <w:rPr>
          <w:rFonts w:ascii="Times New Roman" w:eastAsia="標楷體" w:hAnsi="Times New Roman" w:hint="eastAsia"/>
          <w:sz w:val="20"/>
        </w:rPr>
        <w:t>月</w:t>
      </w:r>
      <w:r>
        <w:rPr>
          <w:rFonts w:ascii="Times New Roman" w:eastAsia="標楷體" w:hAnsi="Times New Roman"/>
          <w:sz w:val="20"/>
        </w:rPr>
        <w:t>30</w:t>
      </w:r>
      <w:r>
        <w:rPr>
          <w:rFonts w:ascii="Times New Roman" w:eastAsia="標楷體" w:hAnsi="Times New Roman" w:hint="eastAsia"/>
          <w:sz w:val="20"/>
        </w:rPr>
        <w:t>日校長核定</w:t>
      </w:r>
    </w:p>
    <w:p w:rsidR="00AE0828" w:rsidRDefault="00AE0828" w:rsidP="00AE0828">
      <w:pPr>
        <w:jc w:val="center"/>
        <w:rPr>
          <w:rFonts w:ascii="Times New Roman" w:eastAsia="標楷體" w:hAnsi="Times New Roman"/>
          <w:b/>
        </w:rPr>
      </w:pPr>
    </w:p>
    <w:p w:rsidR="00AE0828" w:rsidRDefault="00AE0828" w:rsidP="00075AC9">
      <w:pPr>
        <w:pStyle w:val="a7"/>
        <w:numPr>
          <w:ilvl w:val="0"/>
          <w:numId w:val="12"/>
        </w:numPr>
        <w:autoSpaceDN w:val="0"/>
        <w:spacing w:afterLines="40" w:after="96"/>
        <w:ind w:leftChars="0" w:left="851" w:hanging="709"/>
        <w:jc w:val="both"/>
        <w:rPr>
          <w:rFonts w:ascii="Times New Roman" w:eastAsia="標楷體" w:hAnsi="Times New Roman"/>
        </w:rPr>
      </w:pPr>
      <w:r>
        <w:rPr>
          <w:rFonts w:ascii="Times New Roman" w:eastAsia="標楷體" w:hAnsi="Times New Roman" w:hint="eastAsia"/>
        </w:rPr>
        <w:t>依據：「教育部補助大學校院設置研究所</w:t>
      </w:r>
      <w:proofErr w:type="gramStart"/>
      <w:r>
        <w:rPr>
          <w:rFonts w:ascii="Times New Roman" w:eastAsia="標楷體" w:hAnsi="Times New Roman" w:hint="eastAsia"/>
        </w:rPr>
        <w:t>優秀僑</w:t>
      </w:r>
      <w:proofErr w:type="gramEnd"/>
      <w:r>
        <w:rPr>
          <w:rFonts w:ascii="Times New Roman" w:eastAsia="標楷體" w:hAnsi="Times New Roman" w:hint="eastAsia"/>
        </w:rPr>
        <w:t>生獎學金作業要點」訂定之。</w:t>
      </w:r>
    </w:p>
    <w:p w:rsidR="00AE0828" w:rsidRDefault="00AE0828" w:rsidP="00075AC9">
      <w:pPr>
        <w:pStyle w:val="a7"/>
        <w:numPr>
          <w:ilvl w:val="0"/>
          <w:numId w:val="12"/>
        </w:numPr>
        <w:autoSpaceDN w:val="0"/>
        <w:spacing w:afterLines="40" w:after="96"/>
        <w:ind w:leftChars="0" w:left="851" w:hanging="709"/>
        <w:jc w:val="both"/>
        <w:rPr>
          <w:rFonts w:ascii="Times New Roman" w:eastAsia="標楷體" w:hAnsi="Times New Roman"/>
        </w:rPr>
      </w:pPr>
      <w:r>
        <w:rPr>
          <w:rFonts w:ascii="Times New Roman" w:eastAsia="標楷體" w:hAnsi="Times New Roman" w:hint="eastAsia"/>
        </w:rPr>
        <w:t>目的：為獎勵海外</w:t>
      </w:r>
      <w:proofErr w:type="gramStart"/>
      <w:r>
        <w:rPr>
          <w:rFonts w:ascii="Times New Roman" w:eastAsia="標楷體" w:hAnsi="Times New Roman" w:hint="eastAsia"/>
        </w:rPr>
        <w:t>優秀僑</w:t>
      </w:r>
      <w:proofErr w:type="gramEnd"/>
      <w:r>
        <w:rPr>
          <w:rFonts w:ascii="Times New Roman" w:eastAsia="標楷體" w:hAnsi="Times New Roman" w:hint="eastAsia"/>
        </w:rPr>
        <w:t>生至本校就讀，特訂定本辦法。</w:t>
      </w:r>
    </w:p>
    <w:p w:rsidR="00AE0828" w:rsidRDefault="00AE0828" w:rsidP="00075AC9">
      <w:pPr>
        <w:pStyle w:val="a7"/>
        <w:numPr>
          <w:ilvl w:val="0"/>
          <w:numId w:val="12"/>
        </w:numPr>
        <w:autoSpaceDN w:val="0"/>
        <w:spacing w:afterLines="40" w:after="96"/>
        <w:ind w:leftChars="0" w:left="851" w:hanging="709"/>
        <w:jc w:val="both"/>
        <w:rPr>
          <w:rFonts w:ascii="Times New Roman" w:eastAsia="標楷體" w:hAnsi="Times New Roman"/>
          <w:color w:val="000000" w:themeColor="text1"/>
        </w:rPr>
      </w:pPr>
      <w:r w:rsidRPr="00075AC9">
        <w:rPr>
          <w:rFonts w:ascii="Times New Roman" w:eastAsia="標楷體" w:hAnsi="Times New Roman" w:hint="eastAsia"/>
        </w:rPr>
        <w:t>研究所</w:t>
      </w:r>
      <w:proofErr w:type="gramStart"/>
      <w:r>
        <w:rPr>
          <w:rFonts w:ascii="Times New Roman" w:eastAsia="標楷體" w:hAnsi="Times New Roman" w:hint="eastAsia"/>
          <w:color w:val="000000" w:themeColor="text1"/>
        </w:rPr>
        <w:t>優秀僑</w:t>
      </w:r>
      <w:proofErr w:type="gramEnd"/>
      <w:r>
        <w:rPr>
          <w:rFonts w:ascii="Times New Roman" w:eastAsia="標楷體" w:hAnsi="Times New Roman" w:hint="eastAsia"/>
          <w:color w:val="000000" w:themeColor="text1"/>
        </w:rPr>
        <w:t>生獎學金之申請對象：依教育部「僑生回國就學及輔導辦法」或「香港澳門居民來台就學辦法」就學辦法入學或一般管道升學之僑生及港澳生。</w:t>
      </w:r>
    </w:p>
    <w:p w:rsidR="00AE0828" w:rsidRDefault="00AE0828" w:rsidP="00075AC9">
      <w:pPr>
        <w:pStyle w:val="a7"/>
        <w:numPr>
          <w:ilvl w:val="0"/>
          <w:numId w:val="12"/>
        </w:numPr>
        <w:autoSpaceDN w:val="0"/>
        <w:spacing w:afterLines="40" w:after="96"/>
        <w:ind w:leftChars="0" w:left="851" w:hanging="709"/>
        <w:jc w:val="both"/>
        <w:rPr>
          <w:rFonts w:ascii="Times New Roman" w:eastAsia="標楷體" w:hAnsi="Times New Roman"/>
          <w:color w:val="000000" w:themeColor="text1"/>
        </w:rPr>
      </w:pPr>
      <w:r>
        <w:rPr>
          <w:rFonts w:ascii="Times New Roman" w:eastAsia="標楷體" w:hAnsi="Times New Roman" w:hint="eastAsia"/>
          <w:color w:val="000000" w:themeColor="text1"/>
        </w:rPr>
        <w:t>補助原則：</w:t>
      </w:r>
    </w:p>
    <w:p w:rsidR="00AE0828" w:rsidRDefault="00AE0828" w:rsidP="00075AC9">
      <w:pPr>
        <w:pStyle w:val="a7"/>
        <w:numPr>
          <w:ilvl w:val="0"/>
          <w:numId w:val="13"/>
        </w:numPr>
        <w:tabs>
          <w:tab w:val="left" w:pos="50"/>
        </w:tabs>
        <w:autoSpaceDN w:val="0"/>
        <w:spacing w:afterLines="40" w:after="96"/>
        <w:ind w:leftChars="0" w:left="1134" w:hanging="851"/>
        <w:jc w:val="both"/>
        <w:rPr>
          <w:rFonts w:ascii="Times New Roman" w:eastAsia="標楷體" w:hAnsi="Times New Roman"/>
          <w:color w:val="000000" w:themeColor="text1"/>
        </w:rPr>
      </w:pPr>
      <w:r>
        <w:rPr>
          <w:rFonts w:ascii="Times New Roman" w:eastAsia="標楷體" w:hAnsi="Times New Roman" w:hint="eastAsia"/>
          <w:color w:val="000000" w:themeColor="text1"/>
        </w:rPr>
        <w:t>獎學金名額：本獎學金受獎僑生之實際受獎金額及名額，按教育部每</w:t>
      </w:r>
      <w:r w:rsidR="008868AD">
        <w:rPr>
          <w:rFonts w:ascii="Times New Roman" w:eastAsia="標楷體" w:hAnsi="Times New Roman" w:hint="eastAsia"/>
          <w:color w:val="000000" w:themeColor="text1"/>
        </w:rPr>
        <w:t>學期</w:t>
      </w:r>
      <w:r>
        <w:rPr>
          <w:rFonts w:ascii="Times New Roman" w:eastAsia="標楷體" w:hAnsi="Times New Roman" w:hint="eastAsia"/>
          <w:color w:val="000000" w:themeColor="text1"/>
        </w:rPr>
        <w:t>核配本校之獎學金補助款調整之。每名受獎僑生之受獎金額，以每月不低於新台幣一萬元為原則，每學期審查通過後核發。</w:t>
      </w:r>
    </w:p>
    <w:p w:rsidR="00AE0828" w:rsidRDefault="00AE0828" w:rsidP="00075AC9">
      <w:pPr>
        <w:pStyle w:val="a7"/>
        <w:numPr>
          <w:ilvl w:val="0"/>
          <w:numId w:val="13"/>
        </w:numPr>
        <w:tabs>
          <w:tab w:val="left" w:pos="50"/>
        </w:tabs>
        <w:autoSpaceDN w:val="0"/>
        <w:spacing w:afterLines="40" w:after="96"/>
        <w:ind w:leftChars="0" w:left="1134" w:hanging="851"/>
        <w:jc w:val="both"/>
        <w:rPr>
          <w:rFonts w:ascii="Times New Roman" w:eastAsia="標楷體" w:hAnsi="Times New Roman"/>
          <w:color w:val="000000" w:themeColor="text1"/>
        </w:rPr>
      </w:pPr>
      <w:r>
        <w:rPr>
          <w:rFonts w:ascii="Times New Roman" w:eastAsia="標楷體" w:hAnsi="Times New Roman" w:hint="eastAsia"/>
          <w:color w:val="000000" w:themeColor="text1"/>
        </w:rPr>
        <w:t>補助資格：本校各系所招收之研究生具有正式學籍之僑生，學業平均成績及操行成績達</w:t>
      </w:r>
      <w:r>
        <w:rPr>
          <w:rFonts w:ascii="Times New Roman" w:eastAsia="標楷體" w:hAnsi="Times New Roman"/>
          <w:color w:val="000000" w:themeColor="text1"/>
        </w:rPr>
        <w:t>80</w:t>
      </w:r>
      <w:r>
        <w:rPr>
          <w:rFonts w:ascii="Times New Roman" w:eastAsia="標楷體" w:hAnsi="Times New Roman" w:hint="eastAsia"/>
          <w:color w:val="000000" w:themeColor="text1"/>
        </w:rPr>
        <w:t>分以上者，得申請本獎學金。新生須檢附大學歷年成績單正本；舊生須檢附前一學期成績單正本（不含延畢生）。</w:t>
      </w:r>
    </w:p>
    <w:p w:rsidR="00AE0828" w:rsidRDefault="00AE0828" w:rsidP="00075AC9">
      <w:pPr>
        <w:pStyle w:val="a7"/>
        <w:numPr>
          <w:ilvl w:val="0"/>
          <w:numId w:val="13"/>
        </w:numPr>
        <w:tabs>
          <w:tab w:val="left" w:pos="50"/>
        </w:tabs>
        <w:autoSpaceDN w:val="0"/>
        <w:spacing w:afterLines="40" w:after="96"/>
        <w:ind w:leftChars="0" w:left="1134" w:hanging="851"/>
        <w:jc w:val="both"/>
        <w:rPr>
          <w:rFonts w:ascii="Times New Roman" w:eastAsia="標楷體" w:hAnsi="Times New Roman"/>
          <w:color w:val="000000" w:themeColor="text1"/>
        </w:rPr>
      </w:pPr>
      <w:r>
        <w:rPr>
          <w:rFonts w:ascii="Times New Roman" w:eastAsia="標楷體" w:hAnsi="Times New Roman" w:hint="eastAsia"/>
          <w:color w:val="000000" w:themeColor="text1"/>
        </w:rPr>
        <w:t>補助年限：本獎學金每次核給期間以一學期為原則。第一學期自當學年度</w:t>
      </w:r>
      <w:r w:rsidR="007B4D9F">
        <w:rPr>
          <w:rFonts w:ascii="Times New Roman" w:eastAsia="標楷體" w:hAnsi="Times New Roman" w:hint="eastAsia"/>
          <w:color w:val="000000" w:themeColor="text1"/>
        </w:rPr>
        <w:t>8</w:t>
      </w:r>
      <w:r>
        <w:rPr>
          <w:rFonts w:ascii="Times New Roman" w:eastAsia="標楷體" w:hAnsi="Times New Roman" w:hint="eastAsia"/>
          <w:color w:val="000000" w:themeColor="text1"/>
        </w:rPr>
        <w:t>月起至翌年</w:t>
      </w:r>
      <w:r w:rsidR="007B4D9F">
        <w:rPr>
          <w:rFonts w:ascii="Times New Roman" w:eastAsia="標楷體" w:hAnsi="Times New Roman" w:hint="eastAsia"/>
          <w:color w:val="000000" w:themeColor="text1"/>
        </w:rPr>
        <w:t>1</w:t>
      </w:r>
      <w:r>
        <w:rPr>
          <w:rFonts w:ascii="Times New Roman" w:eastAsia="標楷體" w:hAnsi="Times New Roman" w:hint="eastAsia"/>
          <w:color w:val="000000" w:themeColor="text1"/>
        </w:rPr>
        <w:t>月止，第二學期自</w:t>
      </w:r>
      <w:r w:rsidR="007B4D9F">
        <w:rPr>
          <w:rFonts w:ascii="Times New Roman" w:eastAsia="標楷體" w:hAnsi="Times New Roman" w:hint="eastAsia"/>
          <w:color w:val="000000" w:themeColor="text1"/>
        </w:rPr>
        <w:t>2</w:t>
      </w:r>
      <w:r>
        <w:rPr>
          <w:rFonts w:ascii="Times New Roman" w:eastAsia="標楷體" w:hAnsi="Times New Roman" w:hint="eastAsia"/>
          <w:color w:val="000000" w:themeColor="text1"/>
        </w:rPr>
        <w:t>月起至</w:t>
      </w:r>
      <w:r w:rsidR="007B4D9F">
        <w:rPr>
          <w:rFonts w:ascii="Times New Roman" w:eastAsia="標楷體" w:hAnsi="Times New Roman" w:hint="eastAsia"/>
          <w:color w:val="000000" w:themeColor="text1"/>
        </w:rPr>
        <w:t>7</w:t>
      </w:r>
      <w:bookmarkStart w:id="0" w:name="_GoBack"/>
      <w:bookmarkEnd w:id="0"/>
      <w:r>
        <w:rPr>
          <w:rFonts w:ascii="Times New Roman" w:eastAsia="標楷體" w:hAnsi="Times New Roman" w:hint="eastAsia"/>
          <w:color w:val="000000" w:themeColor="text1"/>
        </w:rPr>
        <w:t>月止，按月核發。畢業生則至其畢業月份止。</w:t>
      </w:r>
    </w:p>
    <w:p w:rsidR="00AE0828" w:rsidRDefault="00AE0828" w:rsidP="00075AC9">
      <w:pPr>
        <w:pStyle w:val="a7"/>
        <w:numPr>
          <w:ilvl w:val="0"/>
          <w:numId w:val="13"/>
        </w:numPr>
        <w:tabs>
          <w:tab w:val="left" w:pos="50"/>
        </w:tabs>
        <w:autoSpaceDN w:val="0"/>
        <w:spacing w:afterLines="40" w:after="96"/>
        <w:ind w:leftChars="0" w:left="1134" w:hanging="851"/>
        <w:jc w:val="both"/>
        <w:rPr>
          <w:rFonts w:ascii="Times New Roman" w:eastAsia="標楷體" w:hAnsi="Times New Roman"/>
          <w:color w:val="000000" w:themeColor="text1"/>
        </w:rPr>
      </w:pPr>
      <w:r>
        <w:rPr>
          <w:rFonts w:ascii="Times New Roman" w:eastAsia="標楷體" w:hAnsi="Times New Roman" w:hint="eastAsia"/>
          <w:color w:val="000000" w:themeColor="text1"/>
        </w:rPr>
        <w:t>補助限制：研究所</w:t>
      </w:r>
      <w:proofErr w:type="gramStart"/>
      <w:r>
        <w:rPr>
          <w:rFonts w:ascii="Times New Roman" w:eastAsia="標楷體" w:hAnsi="Times New Roman" w:hint="eastAsia"/>
          <w:color w:val="000000" w:themeColor="text1"/>
        </w:rPr>
        <w:t>優秀僑</w:t>
      </w:r>
      <w:proofErr w:type="gramEnd"/>
      <w:r>
        <w:rPr>
          <w:rFonts w:ascii="Times New Roman" w:eastAsia="標楷體" w:hAnsi="Times New Roman" w:hint="eastAsia"/>
          <w:color w:val="000000" w:themeColor="text1"/>
        </w:rPr>
        <w:t>生獎學金經核定後，因故休學、退學或開除學籍者，其獎學金應停止發給，已逾當月十五日者，不予追繳當月所發獎學金。</w:t>
      </w:r>
    </w:p>
    <w:p w:rsidR="00AE0828" w:rsidRDefault="00AE0828" w:rsidP="00075AC9">
      <w:pPr>
        <w:pStyle w:val="a7"/>
        <w:numPr>
          <w:ilvl w:val="0"/>
          <w:numId w:val="12"/>
        </w:numPr>
        <w:autoSpaceDN w:val="0"/>
        <w:spacing w:afterLines="40" w:after="96"/>
        <w:ind w:leftChars="0" w:left="851" w:hanging="709"/>
        <w:jc w:val="both"/>
        <w:rPr>
          <w:rFonts w:ascii="Times New Roman" w:eastAsia="標楷體" w:hAnsi="Times New Roman"/>
          <w:color w:val="000000" w:themeColor="text1"/>
        </w:rPr>
      </w:pPr>
      <w:r>
        <w:rPr>
          <w:rFonts w:ascii="Times New Roman" w:eastAsia="標楷體" w:hAnsi="Times New Roman" w:hint="eastAsia"/>
          <w:color w:val="000000" w:themeColor="text1"/>
        </w:rPr>
        <w:t>僑生於每學期註冊開學後兩</w:t>
      </w:r>
      <w:proofErr w:type="gramStart"/>
      <w:r>
        <w:rPr>
          <w:rFonts w:ascii="Times New Roman" w:eastAsia="標楷體" w:hAnsi="Times New Roman" w:hint="eastAsia"/>
          <w:color w:val="000000" w:themeColor="text1"/>
        </w:rPr>
        <w:t>週</w:t>
      </w:r>
      <w:proofErr w:type="gramEnd"/>
      <w:r>
        <w:rPr>
          <w:rFonts w:ascii="Times New Roman" w:eastAsia="標楷體" w:hAnsi="Times New Roman" w:hint="eastAsia"/>
          <w:color w:val="000000" w:themeColor="text1"/>
        </w:rPr>
        <w:t>內，填妥申請表、檢具成績單、推薦信及其他有助審查之文件至國際暨兩岸合作處境外學生事務組提出申請。</w:t>
      </w:r>
    </w:p>
    <w:p w:rsidR="00AE0828" w:rsidRDefault="00AE0828" w:rsidP="00075AC9">
      <w:pPr>
        <w:pStyle w:val="a7"/>
        <w:numPr>
          <w:ilvl w:val="0"/>
          <w:numId w:val="12"/>
        </w:numPr>
        <w:autoSpaceDN w:val="0"/>
        <w:spacing w:afterLines="40" w:after="96"/>
        <w:ind w:leftChars="0" w:left="851" w:hanging="709"/>
        <w:jc w:val="both"/>
        <w:rPr>
          <w:rFonts w:ascii="Times New Roman" w:eastAsia="標楷體" w:hAnsi="Times New Roman"/>
          <w:color w:val="000000" w:themeColor="text1"/>
        </w:rPr>
      </w:pPr>
      <w:r>
        <w:rPr>
          <w:rFonts w:ascii="Times New Roman" w:eastAsia="標楷體" w:hAnsi="Times New Roman" w:hint="eastAsia"/>
          <w:color w:val="000000" w:themeColor="text1"/>
        </w:rPr>
        <w:t>本校研究所</w:t>
      </w:r>
      <w:proofErr w:type="gramStart"/>
      <w:r>
        <w:rPr>
          <w:rFonts w:ascii="Times New Roman" w:eastAsia="標楷體" w:hAnsi="Times New Roman" w:hint="eastAsia"/>
          <w:color w:val="000000" w:themeColor="text1"/>
        </w:rPr>
        <w:t>優秀僑</w:t>
      </w:r>
      <w:proofErr w:type="gramEnd"/>
      <w:r>
        <w:rPr>
          <w:rFonts w:ascii="Times New Roman" w:eastAsia="標楷體" w:hAnsi="Times New Roman" w:hint="eastAsia"/>
          <w:color w:val="000000" w:themeColor="text1"/>
        </w:rPr>
        <w:t>生獎學金審查小組由國際事務長、國際交流組組長及境外學生事務組組長組成，並依申請者之申請文件予以審核。</w:t>
      </w:r>
    </w:p>
    <w:p w:rsidR="00AE0828" w:rsidRDefault="00AE0828" w:rsidP="00075AC9">
      <w:pPr>
        <w:pStyle w:val="a7"/>
        <w:numPr>
          <w:ilvl w:val="0"/>
          <w:numId w:val="12"/>
        </w:numPr>
        <w:autoSpaceDN w:val="0"/>
        <w:spacing w:afterLines="40" w:after="96"/>
        <w:ind w:leftChars="0" w:left="851" w:hanging="709"/>
        <w:jc w:val="both"/>
        <w:rPr>
          <w:rFonts w:ascii="Times New Roman" w:eastAsia="標楷體" w:hAnsi="Times New Roman"/>
          <w:color w:val="000000" w:themeColor="text1"/>
        </w:rPr>
      </w:pPr>
      <w:r>
        <w:rPr>
          <w:rFonts w:ascii="Times New Roman" w:eastAsia="標楷體" w:hAnsi="Times New Roman" w:hint="eastAsia"/>
          <w:color w:val="000000" w:themeColor="text1"/>
        </w:rPr>
        <w:t>經費請撥、支用與核銷結報，依教育部補助及委辦經費</w:t>
      </w:r>
      <w:proofErr w:type="gramStart"/>
      <w:r>
        <w:rPr>
          <w:rFonts w:ascii="Times New Roman" w:eastAsia="標楷體" w:hAnsi="Times New Roman" w:hint="eastAsia"/>
          <w:color w:val="000000" w:themeColor="text1"/>
        </w:rPr>
        <w:t>核撥結報</w:t>
      </w:r>
      <w:proofErr w:type="gramEnd"/>
      <w:r>
        <w:rPr>
          <w:rFonts w:ascii="Times New Roman" w:eastAsia="標楷體" w:hAnsi="Times New Roman" w:hint="eastAsia"/>
          <w:color w:val="000000" w:themeColor="text1"/>
        </w:rPr>
        <w:t>作業規定辦理。</w:t>
      </w:r>
    </w:p>
    <w:p w:rsidR="00AE0828" w:rsidRDefault="00AE0828" w:rsidP="00075AC9">
      <w:pPr>
        <w:pStyle w:val="a7"/>
        <w:numPr>
          <w:ilvl w:val="0"/>
          <w:numId w:val="12"/>
        </w:numPr>
        <w:autoSpaceDN w:val="0"/>
        <w:spacing w:afterLines="40" w:after="96"/>
        <w:ind w:leftChars="0" w:left="851" w:hanging="709"/>
        <w:jc w:val="both"/>
        <w:rPr>
          <w:rFonts w:ascii="Times New Roman" w:eastAsia="標楷體" w:hAnsi="Times New Roman"/>
          <w:color w:val="000000" w:themeColor="text1"/>
        </w:rPr>
      </w:pPr>
      <w:r>
        <w:rPr>
          <w:rFonts w:ascii="Times New Roman" w:eastAsia="標楷體" w:hAnsi="Times New Roman" w:hint="eastAsia"/>
          <w:color w:val="000000" w:themeColor="text1"/>
        </w:rPr>
        <w:t>僑生經查有偽造或提供</w:t>
      </w:r>
      <w:proofErr w:type="gramStart"/>
      <w:r>
        <w:rPr>
          <w:rFonts w:ascii="Times New Roman" w:eastAsia="標楷體" w:hAnsi="Times New Roman" w:hint="eastAsia"/>
          <w:color w:val="000000" w:themeColor="text1"/>
        </w:rPr>
        <w:t>不</w:t>
      </w:r>
      <w:proofErr w:type="gramEnd"/>
      <w:r>
        <w:rPr>
          <w:rFonts w:ascii="Times New Roman" w:eastAsia="標楷體" w:hAnsi="Times New Roman" w:hint="eastAsia"/>
          <w:color w:val="000000" w:themeColor="text1"/>
        </w:rPr>
        <w:t>實證件屬實者，除撤銷其資格及追繳已領之獎學金外，並</w:t>
      </w:r>
      <w:r w:rsidRPr="00075AC9">
        <w:rPr>
          <w:rFonts w:ascii="Times New Roman" w:eastAsia="標楷體" w:hAnsi="Times New Roman" w:hint="eastAsia"/>
        </w:rPr>
        <w:t>依法</w:t>
      </w:r>
      <w:r>
        <w:rPr>
          <w:rFonts w:ascii="Times New Roman" w:eastAsia="標楷體" w:hAnsi="Times New Roman" w:hint="eastAsia"/>
          <w:color w:val="000000" w:themeColor="text1"/>
        </w:rPr>
        <w:t>追究相關責任。</w:t>
      </w:r>
    </w:p>
    <w:p w:rsidR="00AE0828" w:rsidRDefault="00AE0828" w:rsidP="00075AC9">
      <w:pPr>
        <w:pStyle w:val="a7"/>
        <w:numPr>
          <w:ilvl w:val="0"/>
          <w:numId w:val="12"/>
        </w:numPr>
        <w:autoSpaceDN w:val="0"/>
        <w:spacing w:afterLines="40" w:after="96"/>
        <w:ind w:leftChars="0" w:left="851" w:hanging="709"/>
        <w:jc w:val="both"/>
        <w:rPr>
          <w:rFonts w:ascii="Times New Roman" w:eastAsia="標楷體" w:hAnsi="Times New Roman"/>
        </w:rPr>
      </w:pPr>
      <w:r>
        <w:rPr>
          <w:rFonts w:ascii="Times New Roman" w:eastAsia="標楷體" w:hAnsi="Times New Roman" w:hint="eastAsia"/>
          <w:color w:val="000000" w:themeColor="text1"/>
        </w:rPr>
        <w:t>本作業須知經國際暨兩岸合作發展委員會會議通過並陳請校長核定後實施，修正時</w:t>
      </w:r>
      <w:r>
        <w:rPr>
          <w:rFonts w:ascii="Times New Roman" w:eastAsia="標楷體" w:hAnsi="Times New Roman" w:hint="eastAsia"/>
        </w:rPr>
        <w:t>亦同。</w:t>
      </w:r>
    </w:p>
    <w:p w:rsidR="002A18C3" w:rsidRPr="00AE0828" w:rsidRDefault="002A18C3" w:rsidP="00AE0828">
      <w:pPr>
        <w:pBdr>
          <w:top w:val="nil"/>
          <w:left w:val="nil"/>
          <w:bottom w:val="nil"/>
          <w:right w:val="nil"/>
          <w:between w:val="nil"/>
        </w:pBdr>
        <w:jc w:val="right"/>
        <w:rPr>
          <w:rFonts w:ascii="Times New Roman" w:eastAsia="標楷體" w:hAnsi="Times New Roman" w:cs="Times New Roman"/>
          <w:color w:val="000000"/>
          <w:sz w:val="32"/>
          <w:szCs w:val="32"/>
        </w:rPr>
      </w:pPr>
    </w:p>
    <w:sectPr w:rsidR="002A18C3" w:rsidRPr="00AE0828">
      <w:headerReference w:type="default" r:id="rId7"/>
      <w:footerReference w:type="default" r:id="rId8"/>
      <w:pgSz w:w="11906" w:h="16838"/>
      <w:pgMar w:top="851" w:right="1134" w:bottom="567" w:left="1134" w:header="720"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8B7" w:rsidRDefault="008908B7">
      <w:r>
        <w:separator/>
      </w:r>
    </w:p>
  </w:endnote>
  <w:endnote w:type="continuationSeparator" w:id="0">
    <w:p w:rsidR="008908B7" w:rsidRDefault="0089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8C3" w:rsidRDefault="00A12358">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7B4D9F">
      <w:rPr>
        <w:rFonts w:eastAsia="Calibri"/>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8B7" w:rsidRDefault="008908B7">
      <w:r>
        <w:separator/>
      </w:r>
    </w:p>
  </w:footnote>
  <w:footnote w:type="continuationSeparator" w:id="0">
    <w:p w:rsidR="008908B7" w:rsidRDefault="008908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8C3" w:rsidRDefault="00A12358">
    <w:pPr>
      <w:pBdr>
        <w:top w:val="nil"/>
        <w:left w:val="nil"/>
        <w:bottom w:val="nil"/>
        <w:right w:val="nil"/>
        <w:between w:val="nil"/>
      </w:pBdr>
      <w:tabs>
        <w:tab w:val="center" w:pos="4153"/>
        <w:tab w:val="right" w:pos="8306"/>
      </w:tabs>
      <w:jc w:val="right"/>
      <w:rPr>
        <w:color w:val="000000"/>
        <w:sz w:val="20"/>
        <w:szCs w:val="20"/>
      </w:rPr>
    </w:pPr>
    <w:r w:rsidRPr="004C0534">
      <w:rPr>
        <w:rFonts w:asciiTheme="majorHAnsi" w:eastAsia="Calibri" w:hAnsiTheme="majorHAnsi" w:cstheme="majorHAnsi"/>
        <w:color w:val="000000"/>
        <w:sz w:val="20"/>
        <w:szCs w:val="20"/>
      </w:rPr>
      <w:t>1</w:t>
    </w:r>
    <w:r w:rsidR="004C0534" w:rsidRPr="004C0534">
      <w:rPr>
        <w:rFonts w:asciiTheme="majorHAnsi" w:hAnsiTheme="majorHAnsi" w:cstheme="majorHAnsi"/>
        <w:color w:val="000000"/>
        <w:sz w:val="20"/>
        <w:szCs w:val="20"/>
      </w:rPr>
      <w:t>1</w:t>
    </w:r>
    <w:r w:rsidR="004C0534">
      <w:rPr>
        <w:rFonts w:asciiTheme="majorHAnsi" w:hAnsiTheme="majorHAnsi" w:cstheme="majorHAnsi"/>
        <w:color w:val="000000"/>
        <w:sz w:val="20"/>
        <w:szCs w:val="20"/>
      </w:rPr>
      <w:t>0</w:t>
    </w:r>
    <w:r w:rsidRPr="004C0534">
      <w:rPr>
        <w:rFonts w:asciiTheme="majorHAnsi" w:eastAsia="Calibri" w:hAnsiTheme="majorHAnsi" w:cstheme="majorHAnsi"/>
        <w:color w:val="000000"/>
        <w:sz w:val="20"/>
        <w:szCs w:val="20"/>
      </w:rPr>
      <w:t>.</w:t>
    </w:r>
    <w:r w:rsidR="004C0534">
      <w:rPr>
        <w:rFonts w:asciiTheme="majorHAnsi" w:eastAsia="Calibri" w:hAnsiTheme="majorHAnsi" w:cstheme="majorHAnsi"/>
        <w:color w:val="000000"/>
        <w:sz w:val="20"/>
        <w:szCs w:val="20"/>
      </w:rPr>
      <w:t>12</w:t>
    </w:r>
    <w:r w:rsidRPr="004C0534">
      <w:rPr>
        <w:rFonts w:asciiTheme="majorHAnsi" w:eastAsia="Calibri" w:hAnsiTheme="majorHAnsi" w:cstheme="majorHAnsi"/>
        <w:color w:val="000000"/>
        <w:sz w:val="20"/>
        <w:szCs w:val="20"/>
      </w:rPr>
      <w:t>.</w:t>
    </w:r>
    <w:r w:rsidR="004C0534">
      <w:rPr>
        <w:rFonts w:asciiTheme="majorHAnsi" w:eastAsia="Calibri" w:hAnsiTheme="majorHAnsi" w:cstheme="majorHAnsi"/>
        <w:color w:val="000000"/>
        <w:sz w:val="20"/>
        <w:szCs w:val="20"/>
      </w:rPr>
      <w:t>20</w:t>
    </w:r>
    <w:r>
      <w:rPr>
        <w:rFonts w:eastAsia="Calibri"/>
        <w:color w:val="000000"/>
        <w:sz w:val="20"/>
        <w:szCs w:val="20"/>
      </w:rP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9C0"/>
    <w:multiLevelType w:val="multilevel"/>
    <w:tmpl w:val="04265FF8"/>
    <w:lvl w:ilvl="0">
      <w:start w:val="1"/>
      <w:numFmt w:val="decimal"/>
      <w:lvlText w:val="%1."/>
      <w:lvlJc w:val="left"/>
      <w:pPr>
        <w:ind w:left="482" w:hanging="48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2C552C"/>
    <w:multiLevelType w:val="hybridMultilevel"/>
    <w:tmpl w:val="1950901E"/>
    <w:lvl w:ilvl="0" w:tplc="4AF03578">
      <w:start w:val="1"/>
      <w:numFmt w:val="taiwaneseCountingThousand"/>
      <w:lvlText w:val="（%1）"/>
      <w:lvlJc w:val="left"/>
      <w:pPr>
        <w:ind w:left="1245" w:hanging="720"/>
      </w:pPr>
      <w:rPr>
        <w:color w:val="000000" w:themeColor="text1"/>
        <w:sz w:val="26"/>
      </w:rPr>
    </w:lvl>
    <w:lvl w:ilvl="1" w:tplc="44BAEF6E">
      <w:start w:val="1"/>
      <w:numFmt w:val="decimal"/>
      <w:lvlText w:val="%2."/>
      <w:lvlJc w:val="left"/>
      <w:pPr>
        <w:ind w:left="1485" w:hanging="480"/>
      </w:pPr>
      <w:rPr>
        <w:rFonts w:ascii="Times New Roman" w:eastAsia="標楷體" w:hAnsi="Times New Roman" w:cs="Times New Roman"/>
      </w:rPr>
    </w:lvl>
    <w:lvl w:ilvl="2" w:tplc="0409001B">
      <w:start w:val="1"/>
      <w:numFmt w:val="lowerRoman"/>
      <w:lvlText w:val="%3."/>
      <w:lvlJc w:val="right"/>
      <w:pPr>
        <w:ind w:left="1965" w:hanging="480"/>
      </w:pPr>
    </w:lvl>
    <w:lvl w:ilvl="3" w:tplc="0409000F">
      <w:start w:val="1"/>
      <w:numFmt w:val="decimal"/>
      <w:lvlText w:val="%4."/>
      <w:lvlJc w:val="left"/>
      <w:pPr>
        <w:ind w:left="2445" w:hanging="480"/>
      </w:pPr>
    </w:lvl>
    <w:lvl w:ilvl="4" w:tplc="04090019">
      <w:start w:val="1"/>
      <w:numFmt w:val="ideographTraditional"/>
      <w:lvlText w:val="%5、"/>
      <w:lvlJc w:val="left"/>
      <w:pPr>
        <w:ind w:left="2925" w:hanging="480"/>
      </w:pPr>
    </w:lvl>
    <w:lvl w:ilvl="5" w:tplc="0409001B">
      <w:start w:val="1"/>
      <w:numFmt w:val="lowerRoman"/>
      <w:lvlText w:val="%6."/>
      <w:lvlJc w:val="right"/>
      <w:pPr>
        <w:ind w:left="3405" w:hanging="480"/>
      </w:pPr>
    </w:lvl>
    <w:lvl w:ilvl="6" w:tplc="0409000F">
      <w:start w:val="1"/>
      <w:numFmt w:val="decimal"/>
      <w:lvlText w:val="%7."/>
      <w:lvlJc w:val="left"/>
      <w:pPr>
        <w:ind w:left="3885" w:hanging="480"/>
      </w:pPr>
    </w:lvl>
    <w:lvl w:ilvl="7" w:tplc="04090019">
      <w:start w:val="1"/>
      <w:numFmt w:val="ideographTraditional"/>
      <w:lvlText w:val="%8、"/>
      <w:lvlJc w:val="left"/>
      <w:pPr>
        <w:ind w:left="4365" w:hanging="480"/>
      </w:pPr>
    </w:lvl>
    <w:lvl w:ilvl="8" w:tplc="0409001B">
      <w:start w:val="1"/>
      <w:numFmt w:val="lowerRoman"/>
      <w:lvlText w:val="%9."/>
      <w:lvlJc w:val="right"/>
      <w:pPr>
        <w:ind w:left="4845" w:hanging="480"/>
      </w:pPr>
    </w:lvl>
  </w:abstractNum>
  <w:abstractNum w:abstractNumId="2" w15:restartNumberingAfterBreak="0">
    <w:nsid w:val="23A65CE1"/>
    <w:multiLevelType w:val="multilevel"/>
    <w:tmpl w:val="D2882F82"/>
    <w:lvl w:ilvl="0">
      <w:start w:val="1"/>
      <w:numFmt w:val="decimal"/>
      <w:lvlText w:val="%1."/>
      <w:lvlJc w:val="left"/>
      <w:pPr>
        <w:ind w:left="482" w:hanging="48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3AE7BF8"/>
    <w:multiLevelType w:val="multilevel"/>
    <w:tmpl w:val="3A622BE4"/>
    <w:lvl w:ilvl="0">
      <w:start w:val="3"/>
      <w:numFmt w:val="decimal"/>
      <w:lvlText w:val="%1、"/>
      <w:lvlJc w:val="left"/>
      <w:pPr>
        <w:ind w:left="500" w:hanging="500"/>
      </w:pPr>
      <w:rPr>
        <w:b w:val="0"/>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44808EF"/>
    <w:multiLevelType w:val="hybridMultilevel"/>
    <w:tmpl w:val="72F24472"/>
    <w:lvl w:ilvl="0" w:tplc="19960FB8">
      <w:start w:val="3"/>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15653A"/>
    <w:multiLevelType w:val="multilevel"/>
    <w:tmpl w:val="4566E3D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FB60A12"/>
    <w:multiLevelType w:val="hybridMultilevel"/>
    <w:tmpl w:val="7806E364"/>
    <w:lvl w:ilvl="0" w:tplc="19346088">
      <w:start w:val="1"/>
      <w:numFmt w:val="taiwaneseCountingThousand"/>
      <w:lvlText w:val="%1、"/>
      <w:lvlJc w:val="left"/>
      <w:pPr>
        <w:ind w:left="480" w:hanging="480"/>
      </w:pPr>
      <w:rPr>
        <w:lang w:val="en-US"/>
      </w:rPr>
    </w:lvl>
    <w:lvl w:ilvl="1" w:tplc="13A4ED16">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4181FAE"/>
    <w:multiLevelType w:val="multilevel"/>
    <w:tmpl w:val="3112E96A"/>
    <w:lvl w:ilvl="0">
      <w:start w:val="3"/>
      <w:numFmt w:val="decimal"/>
      <w:lvlText w:val="%1、"/>
      <w:lvlJc w:val="left"/>
      <w:pPr>
        <w:ind w:left="500" w:hanging="50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A2D1E43"/>
    <w:multiLevelType w:val="multilevel"/>
    <w:tmpl w:val="A38E2FE2"/>
    <w:lvl w:ilvl="0">
      <w:start w:val="1"/>
      <w:numFmt w:val="taiwaneseCountingThousand"/>
      <w:lvlText w:val="（%1）"/>
      <w:lvlJc w:val="left"/>
      <w:pPr>
        <w:ind w:left="1245" w:hanging="720"/>
      </w:pPr>
      <w:rPr>
        <w:rFonts w:hint="eastAsia"/>
        <w:color w:val="000000"/>
        <w:sz w:val="26"/>
        <w:szCs w:val="26"/>
      </w:rPr>
    </w:lvl>
    <w:lvl w:ilvl="1">
      <w:start w:val="1"/>
      <w:numFmt w:val="decimal"/>
      <w:lvlText w:val="%2."/>
      <w:lvlJc w:val="left"/>
      <w:pPr>
        <w:ind w:left="1485" w:hanging="480"/>
      </w:pPr>
      <w:rPr>
        <w:rFonts w:ascii="Times New Roman" w:eastAsia="Times New Roman" w:hAnsi="Times New Roman" w:cs="Times New Roman"/>
      </w:rPr>
    </w:lvl>
    <w:lvl w:ilvl="2">
      <w:start w:val="1"/>
      <w:numFmt w:val="lowerRoman"/>
      <w:lvlText w:val="%3."/>
      <w:lvlJc w:val="right"/>
      <w:pPr>
        <w:ind w:left="1965" w:hanging="480"/>
      </w:pPr>
    </w:lvl>
    <w:lvl w:ilvl="3">
      <w:start w:val="1"/>
      <w:numFmt w:val="decimal"/>
      <w:lvlText w:val="%4."/>
      <w:lvlJc w:val="left"/>
      <w:pPr>
        <w:ind w:left="2445" w:hanging="480"/>
      </w:pPr>
    </w:lvl>
    <w:lvl w:ilvl="4">
      <w:start w:val="1"/>
      <w:numFmt w:val="decimal"/>
      <w:lvlText w:val="%5、"/>
      <w:lvlJc w:val="left"/>
      <w:pPr>
        <w:ind w:left="2925" w:hanging="480"/>
      </w:pPr>
    </w:lvl>
    <w:lvl w:ilvl="5">
      <w:start w:val="1"/>
      <w:numFmt w:val="lowerRoman"/>
      <w:lvlText w:val="%6."/>
      <w:lvlJc w:val="right"/>
      <w:pPr>
        <w:ind w:left="3405" w:hanging="480"/>
      </w:pPr>
    </w:lvl>
    <w:lvl w:ilvl="6">
      <w:start w:val="1"/>
      <w:numFmt w:val="decimal"/>
      <w:lvlText w:val="%7."/>
      <w:lvlJc w:val="left"/>
      <w:pPr>
        <w:ind w:left="3885" w:hanging="480"/>
      </w:pPr>
    </w:lvl>
    <w:lvl w:ilvl="7">
      <w:start w:val="1"/>
      <w:numFmt w:val="decimal"/>
      <w:lvlText w:val="%8、"/>
      <w:lvlJc w:val="left"/>
      <w:pPr>
        <w:ind w:left="4365" w:hanging="480"/>
      </w:pPr>
    </w:lvl>
    <w:lvl w:ilvl="8">
      <w:start w:val="1"/>
      <w:numFmt w:val="lowerRoman"/>
      <w:lvlText w:val="%9."/>
      <w:lvlJc w:val="right"/>
      <w:pPr>
        <w:ind w:left="4845" w:hanging="480"/>
      </w:pPr>
    </w:lvl>
  </w:abstractNum>
  <w:abstractNum w:abstractNumId="9" w15:restartNumberingAfterBreak="0">
    <w:nsid w:val="6B346CEE"/>
    <w:multiLevelType w:val="multilevel"/>
    <w:tmpl w:val="882EF438"/>
    <w:lvl w:ilvl="0">
      <w:start w:val="1"/>
      <w:numFmt w:val="decimal"/>
      <w:lvlText w:val="%1."/>
      <w:lvlJc w:val="left"/>
      <w:pPr>
        <w:ind w:left="482" w:hanging="480"/>
      </w:pPr>
    </w:lvl>
    <w:lvl w:ilvl="1">
      <w:start w:val="1"/>
      <w:numFmt w:val="decimal"/>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decim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decimal"/>
      <w:lvlText w:val="%8、"/>
      <w:lvlJc w:val="left"/>
      <w:pPr>
        <w:ind w:left="3842" w:hanging="480"/>
      </w:pPr>
    </w:lvl>
    <w:lvl w:ilvl="8">
      <w:start w:val="1"/>
      <w:numFmt w:val="lowerRoman"/>
      <w:lvlText w:val="%9."/>
      <w:lvlJc w:val="right"/>
      <w:pPr>
        <w:ind w:left="4322" w:hanging="480"/>
      </w:pPr>
    </w:lvl>
  </w:abstractNum>
  <w:abstractNum w:abstractNumId="10" w15:restartNumberingAfterBreak="0">
    <w:nsid w:val="75BA3ABC"/>
    <w:multiLevelType w:val="multilevel"/>
    <w:tmpl w:val="7096BE88"/>
    <w:lvl w:ilvl="0">
      <w:start w:val="1"/>
      <w:numFmt w:val="taiwaneseCountingThousand"/>
      <w:lvlText w:val="（%1）"/>
      <w:lvlJc w:val="left"/>
      <w:pPr>
        <w:ind w:left="1245" w:hanging="720"/>
      </w:pPr>
      <w:rPr>
        <w:rFonts w:hint="eastAsia"/>
        <w:sz w:val="26"/>
        <w:szCs w:val="26"/>
      </w:rPr>
    </w:lvl>
    <w:lvl w:ilvl="1">
      <w:start w:val="1"/>
      <w:numFmt w:val="decimal"/>
      <w:lvlText w:val="%2."/>
      <w:lvlJc w:val="left"/>
      <w:pPr>
        <w:ind w:left="1485" w:hanging="480"/>
      </w:pPr>
      <w:rPr>
        <w:rFonts w:ascii="Times New Roman" w:eastAsia="Times New Roman" w:hAnsi="Times New Roman" w:cs="Times New Roman"/>
      </w:rPr>
    </w:lvl>
    <w:lvl w:ilvl="2">
      <w:start w:val="10"/>
      <w:numFmt w:val="decimal"/>
      <w:lvlText w:val="%3、"/>
      <w:lvlJc w:val="left"/>
      <w:pPr>
        <w:ind w:left="1965" w:hanging="480"/>
      </w:pPr>
    </w:lvl>
    <w:lvl w:ilvl="3">
      <w:start w:val="1"/>
      <w:numFmt w:val="decimal"/>
      <w:lvlText w:val="%4."/>
      <w:lvlJc w:val="left"/>
      <w:pPr>
        <w:ind w:left="2445" w:hanging="480"/>
      </w:pPr>
    </w:lvl>
    <w:lvl w:ilvl="4">
      <w:start w:val="1"/>
      <w:numFmt w:val="decimal"/>
      <w:lvlText w:val="%5、"/>
      <w:lvlJc w:val="left"/>
      <w:pPr>
        <w:ind w:left="2925" w:hanging="480"/>
      </w:pPr>
    </w:lvl>
    <w:lvl w:ilvl="5">
      <w:start w:val="1"/>
      <w:numFmt w:val="lowerRoman"/>
      <w:lvlText w:val="%6."/>
      <w:lvlJc w:val="right"/>
      <w:pPr>
        <w:ind w:left="3405" w:hanging="480"/>
      </w:pPr>
    </w:lvl>
    <w:lvl w:ilvl="6">
      <w:start w:val="1"/>
      <w:numFmt w:val="decimal"/>
      <w:lvlText w:val="%7."/>
      <w:lvlJc w:val="left"/>
      <w:pPr>
        <w:ind w:left="3885" w:hanging="480"/>
      </w:pPr>
    </w:lvl>
    <w:lvl w:ilvl="7">
      <w:start w:val="1"/>
      <w:numFmt w:val="decimal"/>
      <w:lvlText w:val="%8、"/>
      <w:lvlJc w:val="left"/>
      <w:pPr>
        <w:ind w:left="4365" w:hanging="480"/>
      </w:pPr>
    </w:lvl>
    <w:lvl w:ilvl="8">
      <w:start w:val="1"/>
      <w:numFmt w:val="lowerRoman"/>
      <w:lvlText w:val="%9."/>
      <w:lvlJc w:val="right"/>
      <w:pPr>
        <w:ind w:left="4845" w:hanging="480"/>
      </w:pPr>
    </w:lvl>
  </w:abstractNum>
  <w:abstractNum w:abstractNumId="11" w15:restartNumberingAfterBreak="0">
    <w:nsid w:val="75BD3072"/>
    <w:multiLevelType w:val="multilevel"/>
    <w:tmpl w:val="9A32E508"/>
    <w:lvl w:ilvl="0">
      <w:start w:val="1"/>
      <w:numFmt w:val="taiwaneseCountingThousand"/>
      <w:lvlText w:val="%1、"/>
      <w:lvlJc w:val="left"/>
      <w:pPr>
        <w:ind w:left="480" w:hanging="480"/>
      </w:pPr>
      <w:rPr>
        <w:color w:val="000000"/>
        <w:sz w:val="26"/>
        <w:szCs w:val="26"/>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7FDD0EAC"/>
    <w:multiLevelType w:val="multilevel"/>
    <w:tmpl w:val="0356554A"/>
    <w:lvl w:ilvl="0">
      <w:start w:val="1"/>
      <w:numFmt w:val="decimal"/>
      <w:lvlText w:val="%1."/>
      <w:lvlJc w:val="left"/>
      <w:pPr>
        <w:ind w:left="482"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2"/>
  </w:num>
  <w:num w:numId="2">
    <w:abstractNumId w:val="5"/>
  </w:num>
  <w:num w:numId="3">
    <w:abstractNumId w:val="8"/>
  </w:num>
  <w:num w:numId="4">
    <w:abstractNumId w:val="7"/>
  </w:num>
  <w:num w:numId="5">
    <w:abstractNumId w:val="0"/>
  </w:num>
  <w:num w:numId="6">
    <w:abstractNumId w:val="3"/>
  </w:num>
  <w:num w:numId="7">
    <w:abstractNumId w:val="2"/>
  </w:num>
  <w:num w:numId="8">
    <w:abstractNumId w:val="10"/>
  </w:num>
  <w:num w:numId="9">
    <w:abstractNumId w:val="11"/>
  </w:num>
  <w:num w:numId="10">
    <w:abstractNumId w:val="9"/>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C3"/>
    <w:rsid w:val="00075AC9"/>
    <w:rsid w:val="001A5A1B"/>
    <w:rsid w:val="002A18C3"/>
    <w:rsid w:val="002D4117"/>
    <w:rsid w:val="004C0534"/>
    <w:rsid w:val="004C615B"/>
    <w:rsid w:val="00553B07"/>
    <w:rsid w:val="005849F3"/>
    <w:rsid w:val="007B4D9F"/>
    <w:rsid w:val="008868AD"/>
    <w:rsid w:val="008908B7"/>
    <w:rsid w:val="00A12358"/>
    <w:rsid w:val="00AE0828"/>
    <w:rsid w:val="00B04A74"/>
    <w:rsid w:val="00E63D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4DFE4-4527-4C56-AA91-D939504F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a7">
    <w:name w:val="List Paragraph"/>
    <w:basedOn w:val="a"/>
    <w:uiPriority w:val="34"/>
    <w:qFormat/>
    <w:rsid w:val="00AE0828"/>
    <w:pPr>
      <w:ind w:leftChars="200" w:left="480"/>
    </w:pPr>
  </w:style>
  <w:style w:type="paragraph" w:customStyle="1" w:styleId="Default">
    <w:name w:val="Default"/>
    <w:rsid w:val="00AE0828"/>
    <w:pPr>
      <w:suppressAutoHyphens/>
      <w:autoSpaceDE w:val="0"/>
      <w:autoSpaceDN w:val="0"/>
    </w:pPr>
    <w:rPr>
      <w:rFonts w:ascii="標楷體" w:eastAsia="標楷體" w:hAnsi="標楷體" w:cs="標楷體"/>
      <w:color w:val="000000"/>
    </w:rPr>
  </w:style>
  <w:style w:type="paragraph" w:styleId="a8">
    <w:name w:val="header"/>
    <w:basedOn w:val="a"/>
    <w:link w:val="a9"/>
    <w:uiPriority w:val="99"/>
    <w:unhideWhenUsed/>
    <w:rsid w:val="008868AD"/>
    <w:pPr>
      <w:tabs>
        <w:tab w:val="center" w:pos="4153"/>
        <w:tab w:val="right" w:pos="8306"/>
      </w:tabs>
      <w:snapToGrid w:val="0"/>
    </w:pPr>
    <w:rPr>
      <w:sz w:val="20"/>
      <w:szCs w:val="20"/>
    </w:rPr>
  </w:style>
  <w:style w:type="character" w:customStyle="1" w:styleId="a9">
    <w:name w:val="頁首 字元"/>
    <w:basedOn w:val="a0"/>
    <w:link w:val="a8"/>
    <w:uiPriority w:val="99"/>
    <w:rsid w:val="008868AD"/>
    <w:rPr>
      <w:sz w:val="20"/>
      <w:szCs w:val="20"/>
    </w:rPr>
  </w:style>
  <w:style w:type="paragraph" w:styleId="aa">
    <w:name w:val="footer"/>
    <w:basedOn w:val="a"/>
    <w:link w:val="ab"/>
    <w:uiPriority w:val="99"/>
    <w:unhideWhenUsed/>
    <w:rsid w:val="008868AD"/>
    <w:pPr>
      <w:tabs>
        <w:tab w:val="center" w:pos="4153"/>
        <w:tab w:val="right" w:pos="8306"/>
      </w:tabs>
      <w:snapToGrid w:val="0"/>
    </w:pPr>
    <w:rPr>
      <w:sz w:val="20"/>
      <w:szCs w:val="20"/>
    </w:rPr>
  </w:style>
  <w:style w:type="character" w:customStyle="1" w:styleId="ab">
    <w:name w:val="頁尾 字元"/>
    <w:basedOn w:val="a0"/>
    <w:link w:val="aa"/>
    <w:uiPriority w:val="99"/>
    <w:rsid w:val="008868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71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Hsu</dc:creator>
  <cp:lastModifiedBy>Windows 使用者</cp:lastModifiedBy>
  <cp:revision>7</cp:revision>
  <cp:lastPrinted>2021-12-20T06:38:00Z</cp:lastPrinted>
  <dcterms:created xsi:type="dcterms:W3CDTF">2021-12-14T00:42:00Z</dcterms:created>
  <dcterms:modified xsi:type="dcterms:W3CDTF">2021-12-24T03:35:00Z</dcterms:modified>
</cp:coreProperties>
</file>